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4B" w:rsidRDefault="00D92324" w:rsidP="00E1604B">
      <w:pPr>
        <w:pStyle w:val="BodyText"/>
        <w:sectPr w:rsidR="00E1604B" w:rsidSect="00E1604B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0" w:right="1440" w:bottom="1440" w:left="0" w:header="680" w:footer="567" w:gutter="0"/>
          <w:cols w:space="708"/>
          <w:titlePg/>
          <w:docGrid w:linePitch="360"/>
        </w:sectPr>
      </w:pPr>
      <w:r w:rsidRPr="00D92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0B15" wp14:editId="63FAF16E">
                <wp:simplePos x="0" y="0"/>
                <wp:positionH relativeFrom="column">
                  <wp:posOffset>6177088</wp:posOffset>
                </wp:positionH>
                <wp:positionV relativeFrom="paragraph">
                  <wp:posOffset>2413089</wp:posOffset>
                </wp:positionV>
                <wp:extent cx="978196" cy="297712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24" w:rsidRDefault="006A0EE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April</w:t>
                            </w:r>
                            <w:r w:rsidR="00D92324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4pt;margin-top:190pt;width:7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vT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" stroked="f">
                <v:textbox>
                  <w:txbxContent>
                    <w:p w:rsidR="00D92324" w:rsidRDefault="006A0EE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April</w:t>
                      </w:r>
                      <w:r w:rsidR="00D92324">
                        <w:rPr>
                          <w:noProof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480370">
        <w:rPr>
          <w:noProof/>
        </w:rPr>
        <w:drawing>
          <wp:inline distT="0" distB="0" distL="0" distR="0" wp14:anchorId="2D0CE9C5" wp14:editId="6370F81E">
            <wp:extent cx="7552800" cy="24732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itle"/>
        <w:tag w:val=""/>
        <w:id w:val="-19171197"/>
        <w:placeholder>
          <w:docPart w:val="C1DAD11CAEEF438CB4383BBCD17B4DE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27C2D" w:rsidRPr="00D27C2D" w:rsidRDefault="00F84D4D" w:rsidP="00AC3CE5">
          <w:pPr>
            <w:pStyle w:val="Title"/>
            <w:ind w:right="-23"/>
            <w:jc w:val="center"/>
          </w:pPr>
          <w:r>
            <w:t xml:space="preserve">Thailand </w:t>
          </w:r>
          <w:r w:rsidR="00EA0785">
            <w:t xml:space="preserve">– Education </w:t>
          </w:r>
          <w:r w:rsidR="00AC3CE5">
            <w:t>&amp; Research Partnership Opportunities</w:t>
          </w:r>
        </w:p>
      </w:sdtContent>
    </w:sdt>
    <w:p w:rsidR="0063548E" w:rsidRDefault="00F84D4D" w:rsidP="0063548E">
      <w:pPr>
        <w:pStyle w:val="Heading1"/>
      </w:pPr>
      <w:bookmarkStart w:id="0" w:name="_Toc364946116"/>
      <w:r>
        <w:t>Thai</w:t>
      </w:r>
      <w:r w:rsidR="00AC3CE5">
        <w:t xml:space="preserve"> Government</w:t>
      </w:r>
      <w:r w:rsidR="00EB319F">
        <w:t xml:space="preserve"> p</w:t>
      </w:r>
      <w:r w:rsidR="002679C9">
        <w:t>riorities</w:t>
      </w:r>
    </w:p>
    <w:p w:rsidR="00B7282D" w:rsidRDefault="00B7282D" w:rsidP="00B7282D">
      <w:pPr>
        <w:pStyle w:val="ListParagraph"/>
        <w:numPr>
          <w:ilvl w:val="0"/>
          <w:numId w:val="20"/>
        </w:numPr>
      </w:pPr>
      <w:r>
        <w:t>Improve research managemen</w:t>
      </w:r>
      <w:r w:rsidR="00F97CF1">
        <w:t xml:space="preserve">t systems </w:t>
      </w:r>
      <w:r w:rsidR="00F26740">
        <w:t>in Thailand’s institutions</w:t>
      </w:r>
      <w:r w:rsidR="006011B6">
        <w:t>.</w:t>
      </w:r>
      <w:r w:rsidR="00F26740">
        <w:t xml:space="preserve"> </w:t>
      </w:r>
    </w:p>
    <w:p w:rsidR="00686A12" w:rsidRDefault="00686A12" w:rsidP="00686A12">
      <w:pPr>
        <w:pStyle w:val="ListParagraph"/>
        <w:numPr>
          <w:ilvl w:val="0"/>
          <w:numId w:val="20"/>
        </w:numPr>
      </w:pPr>
      <w:r>
        <w:t>Strong focus on increasing the numbers of researchers in science and technology</w:t>
      </w:r>
      <w:r w:rsidR="006011B6">
        <w:t>.</w:t>
      </w:r>
    </w:p>
    <w:p w:rsidR="00686A12" w:rsidRDefault="00F27029" w:rsidP="00686A12">
      <w:pPr>
        <w:pStyle w:val="ListParagraph"/>
        <w:numPr>
          <w:ilvl w:val="0"/>
          <w:numId w:val="20"/>
        </w:numPr>
      </w:pPr>
      <w:r>
        <w:t xml:space="preserve">Greater opportunities to build research capacity through </w:t>
      </w:r>
      <w:r w:rsidR="002876F9">
        <w:t xml:space="preserve">11 </w:t>
      </w:r>
      <w:r>
        <w:t>c</w:t>
      </w:r>
      <w:r w:rsidR="00B7282D">
        <w:t>entres of exce</w:t>
      </w:r>
      <w:r>
        <w:t>llence in universities</w:t>
      </w:r>
      <w:r w:rsidR="006011B6">
        <w:t>.</w:t>
      </w:r>
    </w:p>
    <w:p w:rsidR="00686A12" w:rsidRDefault="00686A12" w:rsidP="00686A12">
      <w:pPr>
        <w:pStyle w:val="ListParagraph"/>
        <w:numPr>
          <w:ilvl w:val="0"/>
          <w:numId w:val="20"/>
        </w:numPr>
      </w:pPr>
      <w:r>
        <w:t xml:space="preserve">Strengthen implementation of the Thai National Qualifications Framework and referencing to the ASEAN </w:t>
      </w:r>
      <w:r w:rsidR="00CD09FD">
        <w:t>Q</w:t>
      </w:r>
      <w:r>
        <w:t xml:space="preserve">ualification </w:t>
      </w:r>
      <w:r w:rsidR="00CD09FD">
        <w:t>R</w:t>
      </w:r>
      <w:r>
        <w:t>eferenc</w:t>
      </w:r>
      <w:r w:rsidR="00CD09FD">
        <w:t>e Framework</w:t>
      </w:r>
      <w:r w:rsidR="006011B6">
        <w:t>.</w:t>
      </w:r>
    </w:p>
    <w:p w:rsidR="00686A12" w:rsidRDefault="00686A12" w:rsidP="00686A12">
      <w:pPr>
        <w:pStyle w:val="ListParagraph"/>
        <w:numPr>
          <w:ilvl w:val="0"/>
          <w:numId w:val="20"/>
        </w:numPr>
      </w:pPr>
      <w:r>
        <w:t>Improving English language skills for teachers</w:t>
      </w:r>
      <w:r w:rsidR="006011B6">
        <w:t>.</w:t>
      </w:r>
    </w:p>
    <w:p w:rsidR="00B7282D" w:rsidRDefault="00686A12" w:rsidP="00686A12">
      <w:pPr>
        <w:pStyle w:val="ListParagraph"/>
        <w:numPr>
          <w:ilvl w:val="0"/>
          <w:numId w:val="20"/>
        </w:numPr>
      </w:pPr>
      <w:r>
        <w:t>Increas</w:t>
      </w:r>
      <w:r w:rsidR="00CD09FD">
        <w:t>e</w:t>
      </w:r>
      <w:r>
        <w:t xml:space="preserve"> numbers of students studying STEM subjects</w:t>
      </w:r>
      <w:r w:rsidR="006011B6">
        <w:t>.</w:t>
      </w:r>
      <w:r>
        <w:t xml:space="preserve"> </w:t>
      </w:r>
    </w:p>
    <w:p w:rsidR="00B7282D" w:rsidRDefault="00B7282D" w:rsidP="00B7282D">
      <w:pPr>
        <w:pStyle w:val="ListParagraph"/>
        <w:numPr>
          <w:ilvl w:val="0"/>
          <w:numId w:val="20"/>
        </w:numPr>
      </w:pPr>
      <w:r>
        <w:t xml:space="preserve">Increase student and researcher mobility </w:t>
      </w:r>
      <w:r w:rsidR="007231FC">
        <w:t>and opportunities for internships</w:t>
      </w:r>
      <w:r w:rsidR="00CB3136">
        <w:t>.</w:t>
      </w:r>
    </w:p>
    <w:p w:rsidR="00686A12" w:rsidRDefault="00686A12" w:rsidP="00B7282D">
      <w:pPr>
        <w:pStyle w:val="ListParagraph"/>
        <w:numPr>
          <w:ilvl w:val="0"/>
          <w:numId w:val="20"/>
        </w:numPr>
      </w:pPr>
      <w:r>
        <w:t>Focus on skilling labour force</w:t>
      </w:r>
      <w:r w:rsidR="00CB3136">
        <w:t>.</w:t>
      </w:r>
    </w:p>
    <w:p w:rsidR="00B7282D" w:rsidRDefault="007231FC" w:rsidP="00B7282D">
      <w:pPr>
        <w:pStyle w:val="ListParagraph"/>
        <w:numPr>
          <w:ilvl w:val="0"/>
          <w:numId w:val="20"/>
        </w:numPr>
      </w:pPr>
      <w:r>
        <w:t>Position Thailand as an international education hub</w:t>
      </w:r>
      <w:r w:rsidR="00CB3136">
        <w:t>.</w:t>
      </w:r>
    </w:p>
    <w:bookmarkEnd w:id="0"/>
    <w:p w:rsidR="002679C9" w:rsidRDefault="002679C9" w:rsidP="00AC3CE5">
      <w:pPr>
        <w:pStyle w:val="Heading1"/>
      </w:pPr>
      <w:r>
        <w:t>Eme</w:t>
      </w:r>
      <w:r w:rsidR="00EB319F">
        <w:t>rging t</w:t>
      </w:r>
      <w:r>
        <w:t>rends</w:t>
      </w:r>
    </w:p>
    <w:p w:rsidR="00D461B5" w:rsidRDefault="00D461B5" w:rsidP="00F97CF1">
      <w:pPr>
        <w:pStyle w:val="ListParagraph"/>
        <w:numPr>
          <w:ilvl w:val="0"/>
          <w:numId w:val="24"/>
        </w:numPr>
      </w:pPr>
      <w:r>
        <w:t xml:space="preserve">Developing </w:t>
      </w:r>
      <w:r w:rsidR="00711060">
        <w:t xml:space="preserve">Thailand’s </w:t>
      </w:r>
      <w:r>
        <w:t>education system to ensure a sustainable su</w:t>
      </w:r>
      <w:r w:rsidR="00FF6E25">
        <w:t>pply of skilled mechanics, technicians and engineers</w:t>
      </w:r>
      <w:r w:rsidR="00CB3136">
        <w:t>.</w:t>
      </w:r>
    </w:p>
    <w:p w:rsidR="00711060" w:rsidRDefault="00711060" w:rsidP="00711060">
      <w:pPr>
        <w:pStyle w:val="ListParagraph"/>
        <w:numPr>
          <w:ilvl w:val="0"/>
          <w:numId w:val="24"/>
        </w:numPr>
      </w:pPr>
      <w:r>
        <w:t xml:space="preserve">Improving </w:t>
      </w:r>
      <w:r w:rsidR="00307284">
        <w:t xml:space="preserve">the </w:t>
      </w:r>
      <w:r>
        <w:t>quality of Thai institutions and internationalisation of Thailand’s research intensive universities</w:t>
      </w:r>
      <w:r w:rsidR="00CB3136">
        <w:t>.</w:t>
      </w:r>
    </w:p>
    <w:p w:rsidR="00D8481B" w:rsidRDefault="00D8481B" w:rsidP="00711060">
      <w:pPr>
        <w:pStyle w:val="ListParagraph"/>
        <w:numPr>
          <w:ilvl w:val="0"/>
          <w:numId w:val="24"/>
        </w:numPr>
      </w:pPr>
      <w:r>
        <w:t xml:space="preserve">Increasing number of academic partnerships i.e. joint degrees, double degrees and </w:t>
      </w:r>
      <w:r w:rsidR="00CD09FD">
        <w:t>c</w:t>
      </w:r>
      <w:r>
        <w:t xml:space="preserve">otutelle </w:t>
      </w:r>
      <w:r w:rsidR="00CD09FD">
        <w:t xml:space="preserve">PhD </w:t>
      </w:r>
      <w:r>
        <w:t>arrangements</w:t>
      </w:r>
      <w:r w:rsidR="00CB3136">
        <w:t>.</w:t>
      </w:r>
    </w:p>
    <w:p w:rsidR="00CB3136" w:rsidRPr="00F84D4D" w:rsidRDefault="00CB3136" w:rsidP="00CB3136">
      <w:pPr>
        <w:pStyle w:val="ListParagraph"/>
        <w:numPr>
          <w:ilvl w:val="0"/>
          <w:numId w:val="24"/>
        </w:numPr>
      </w:pPr>
      <w:r>
        <w:t xml:space="preserve">Increasing internationalisation of Thailand’s higher education </w:t>
      </w:r>
      <w:r w:rsidR="00EB2261">
        <w:t>sector</w:t>
      </w:r>
      <w:r>
        <w:t xml:space="preserve">, with public and private higher education institutions already offering a total of 1,044 international programs in English. Thailand already hosts over </w:t>
      </w:r>
      <w:r w:rsidR="00F640CA">
        <w:t>20,000 international students</w:t>
      </w:r>
      <w:r>
        <w:t>.</w:t>
      </w:r>
    </w:p>
    <w:p w:rsidR="00F640CA" w:rsidRDefault="00F640CA" w:rsidP="00F97CF1">
      <w:pPr>
        <w:pStyle w:val="ListParagraph"/>
        <w:numPr>
          <w:ilvl w:val="0"/>
          <w:numId w:val="24"/>
        </w:numPr>
      </w:pPr>
      <w:r>
        <w:t xml:space="preserve">There were 16,155 Thai student visa holders in Australia in 2014, responsible for 25,642 enrolments at Australian education providers across all education sectors (18.4% </w:t>
      </w:r>
      <w:proofErr w:type="gramStart"/>
      <w:r>
        <w:t>increase</w:t>
      </w:r>
      <w:proofErr w:type="gramEnd"/>
      <w:r>
        <w:t xml:space="preserve"> on 2013). This made Thailand the fifth largest source market for international enrolments across all sectors. </w:t>
      </w:r>
    </w:p>
    <w:p w:rsidR="000B1816" w:rsidRDefault="000B1816" w:rsidP="00F97CF1">
      <w:pPr>
        <w:pStyle w:val="ListParagraph"/>
        <w:numPr>
          <w:ilvl w:val="0"/>
          <w:numId w:val="24"/>
        </w:numPr>
      </w:pPr>
      <w:r>
        <w:t xml:space="preserve">In 2014, Thai ELICOS </w:t>
      </w:r>
      <w:r w:rsidR="00CD09FD">
        <w:t xml:space="preserve">enrolments </w:t>
      </w:r>
      <w:r>
        <w:t xml:space="preserve">increased by 30% </w:t>
      </w:r>
      <w:r w:rsidR="00307284">
        <w:t>and vocational education and training (VET) enrolments increased by 17% on 2013 levels</w:t>
      </w:r>
      <w:r>
        <w:t xml:space="preserve">. </w:t>
      </w:r>
      <w:r w:rsidR="00711060">
        <w:t xml:space="preserve">Thailand is ranked third as a source country for </w:t>
      </w:r>
      <w:r w:rsidR="00711060">
        <w:lastRenderedPageBreak/>
        <w:t xml:space="preserve">ELICOS student enrolments, after China and Brazil. </w:t>
      </w:r>
      <w:r w:rsidR="00307284">
        <w:t>Meanwhile, Thai enrolments in the higher education sector declined 7.5% in 2014 compared to 2013.</w:t>
      </w:r>
    </w:p>
    <w:p w:rsidR="00AC3CE5" w:rsidRDefault="002679C9" w:rsidP="00AC3CE5">
      <w:pPr>
        <w:pStyle w:val="Heading1"/>
      </w:pPr>
      <w:r>
        <w:t>Opportunities for Australia</w:t>
      </w:r>
    </w:p>
    <w:p w:rsidR="008E6278" w:rsidRDefault="006011B6" w:rsidP="008E6278">
      <w:pPr>
        <w:pStyle w:val="ListParagraph"/>
        <w:numPr>
          <w:ilvl w:val="0"/>
          <w:numId w:val="22"/>
        </w:numPr>
      </w:pPr>
      <w:r>
        <w:t>Increase</w:t>
      </w:r>
      <w:r w:rsidR="008E6278">
        <w:t xml:space="preserve"> number of </w:t>
      </w:r>
      <w:r w:rsidR="00711060">
        <w:t xml:space="preserve">Thai </w:t>
      </w:r>
      <w:r w:rsidR="008E6278">
        <w:t>students undertaking pathway courses</w:t>
      </w:r>
      <w:r w:rsidR="00711060">
        <w:t xml:space="preserve"> in Australia</w:t>
      </w:r>
      <w:r w:rsidR="008E6278">
        <w:t xml:space="preserve"> </w:t>
      </w:r>
      <w:r w:rsidR="00CD09FD">
        <w:t>–</w:t>
      </w:r>
      <w:r w:rsidR="008E6278">
        <w:t xml:space="preserve"> Thailand is Australia’s third largest ELICOS market after China and Brazil and fourth largest for VET</w:t>
      </w:r>
      <w:r w:rsidR="00CB3136">
        <w:t>.</w:t>
      </w:r>
    </w:p>
    <w:p w:rsidR="008E6278" w:rsidRDefault="008E6278" w:rsidP="008E6278">
      <w:pPr>
        <w:pStyle w:val="ListParagraph"/>
        <w:numPr>
          <w:ilvl w:val="0"/>
          <w:numId w:val="22"/>
        </w:numPr>
      </w:pPr>
      <w:r>
        <w:t>Boost to institutional rankings through increased collaboration in joint publications and researcher mobility</w:t>
      </w:r>
      <w:r w:rsidR="00CB3136">
        <w:t>.</w:t>
      </w:r>
    </w:p>
    <w:p w:rsidR="00D8481B" w:rsidRDefault="00D8481B" w:rsidP="008E6278">
      <w:pPr>
        <w:pStyle w:val="ListParagraph"/>
        <w:numPr>
          <w:ilvl w:val="0"/>
          <w:numId w:val="22"/>
        </w:numPr>
      </w:pPr>
      <w:r>
        <w:t>Increase research collaboration in</w:t>
      </w:r>
      <w:r w:rsidR="006011B6">
        <w:t xml:space="preserve"> areas including</w:t>
      </w:r>
      <w:r>
        <w:t xml:space="preserve"> energy</w:t>
      </w:r>
      <w:r w:rsidR="006011B6">
        <w:t xml:space="preserve">, </w:t>
      </w:r>
      <w:r>
        <w:t xml:space="preserve">environment, agricultural biotechnology, </w:t>
      </w:r>
      <w:r w:rsidR="006011B6">
        <w:t xml:space="preserve">medicine, materials science, applied mathematics and nanotechnology. </w:t>
      </w:r>
    </w:p>
    <w:p w:rsidR="00EA05D6" w:rsidRDefault="00711060" w:rsidP="00A14551">
      <w:pPr>
        <w:pStyle w:val="ListParagraph"/>
        <w:numPr>
          <w:ilvl w:val="0"/>
          <w:numId w:val="22"/>
        </w:numPr>
      </w:pPr>
      <w:r>
        <w:t xml:space="preserve">The </w:t>
      </w:r>
      <w:r w:rsidR="00EA05D6">
        <w:t xml:space="preserve">quality of many Thai universities and </w:t>
      </w:r>
      <w:r>
        <w:t xml:space="preserve">the large </w:t>
      </w:r>
      <w:r w:rsidR="00EA05D6">
        <w:t xml:space="preserve">number of programs delivered in English make Thailand </w:t>
      </w:r>
      <w:r w:rsidR="003F031B">
        <w:t>a</w:t>
      </w:r>
      <w:r w:rsidR="006011B6">
        <w:t>n ideal</w:t>
      </w:r>
      <w:r w:rsidR="003F031B">
        <w:t xml:space="preserve"> </w:t>
      </w:r>
      <w:r w:rsidR="00EA05D6">
        <w:t>host</w:t>
      </w:r>
      <w:r w:rsidR="006011B6">
        <w:t xml:space="preserve"> for greater numbers of</w:t>
      </w:r>
      <w:r w:rsidR="00EA05D6">
        <w:t xml:space="preserve"> Australian students under the </w:t>
      </w:r>
      <w:r w:rsidR="006011B6">
        <w:t xml:space="preserve">New Colombo Plan </w:t>
      </w:r>
      <w:r w:rsidR="00D8481B">
        <w:t>and Endeavour mobility programs</w:t>
      </w:r>
      <w:r w:rsidR="00CB3136">
        <w:t>.</w:t>
      </w:r>
    </w:p>
    <w:p w:rsidR="00EA05D6" w:rsidRDefault="006011B6" w:rsidP="00A14551">
      <w:pPr>
        <w:pStyle w:val="ListParagraph"/>
        <w:numPr>
          <w:ilvl w:val="0"/>
          <w:numId w:val="22"/>
        </w:numPr>
      </w:pPr>
      <w:r>
        <w:t xml:space="preserve">Showcase </w:t>
      </w:r>
      <w:r w:rsidR="00EA05D6">
        <w:t>Australian expertise in teaching and learning</w:t>
      </w:r>
      <w:r w:rsidR="00711060">
        <w:t xml:space="preserve">, English language proficiency and </w:t>
      </w:r>
      <w:r w:rsidR="00EA05D6">
        <w:t>leadership in schools</w:t>
      </w:r>
      <w:r w:rsidR="00CB3136">
        <w:t>.</w:t>
      </w:r>
    </w:p>
    <w:p w:rsidR="00E86BA9" w:rsidRPr="00CC7D98" w:rsidRDefault="00E86BA9" w:rsidP="00A14551">
      <w:pPr>
        <w:pStyle w:val="ListParagraph"/>
        <w:numPr>
          <w:ilvl w:val="0"/>
          <w:numId w:val="22"/>
        </w:numPr>
      </w:pPr>
      <w:r w:rsidRPr="00CC7D98">
        <w:t xml:space="preserve">Access Thai government scholarships </w:t>
      </w:r>
      <w:r w:rsidR="00F26740" w:rsidRPr="00CC7D98">
        <w:t>to encourage greater student and academic mobility</w:t>
      </w:r>
      <w:r w:rsidR="005747F5">
        <w:t>.</w:t>
      </w:r>
    </w:p>
    <w:p w:rsidR="0063548E" w:rsidRDefault="00EB319F" w:rsidP="0063548E">
      <w:pPr>
        <w:pStyle w:val="Heading1"/>
      </w:pPr>
      <w:r>
        <w:t>Our k</w:t>
      </w:r>
      <w:r w:rsidR="002679C9">
        <w:t>ey goals</w:t>
      </w:r>
    </w:p>
    <w:p w:rsidR="008E6278" w:rsidRPr="008E6278" w:rsidRDefault="008E6278" w:rsidP="008E6278">
      <w:pPr>
        <w:pStyle w:val="ListParagraph"/>
        <w:numPr>
          <w:ilvl w:val="0"/>
          <w:numId w:val="21"/>
        </w:numPr>
        <w:rPr>
          <w:rFonts w:cstheme="minorHAnsi"/>
        </w:rPr>
      </w:pPr>
      <w:r w:rsidRPr="008E6278">
        <w:rPr>
          <w:rFonts w:cstheme="minorHAnsi"/>
        </w:rPr>
        <w:t>Develop greater student and academic mobility</w:t>
      </w:r>
      <w:r w:rsidR="00CB3136">
        <w:rPr>
          <w:rFonts w:cstheme="minorHAnsi"/>
        </w:rPr>
        <w:t>.</w:t>
      </w:r>
      <w:r w:rsidRPr="008E6278">
        <w:rPr>
          <w:rFonts w:cstheme="minorHAnsi"/>
        </w:rPr>
        <w:t xml:space="preserve"> </w:t>
      </w:r>
    </w:p>
    <w:p w:rsidR="008E6278" w:rsidRPr="008E6278" w:rsidRDefault="008E6278" w:rsidP="008E6278">
      <w:pPr>
        <w:pStyle w:val="ListParagraph"/>
        <w:numPr>
          <w:ilvl w:val="0"/>
          <w:numId w:val="21"/>
        </w:numPr>
        <w:rPr>
          <w:rFonts w:cstheme="minorHAnsi"/>
        </w:rPr>
      </w:pPr>
      <w:r w:rsidRPr="008E6278">
        <w:rPr>
          <w:rFonts w:cstheme="minorHAnsi"/>
        </w:rPr>
        <w:t>Increase research and institutional linkages</w:t>
      </w:r>
      <w:r w:rsidR="005747F5">
        <w:rPr>
          <w:rFonts w:cstheme="minorHAnsi"/>
        </w:rPr>
        <w:t>.</w:t>
      </w:r>
    </w:p>
    <w:p w:rsidR="008E6278" w:rsidRDefault="00711060" w:rsidP="008E6278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Foster a </w:t>
      </w:r>
      <w:r w:rsidR="00EA05D6">
        <w:rPr>
          <w:rFonts w:cstheme="minorHAnsi"/>
        </w:rPr>
        <w:t xml:space="preserve">positive education relationship, strengthening Australia’s reputation for quality education and training </w:t>
      </w:r>
      <w:r w:rsidR="00CB3136">
        <w:rPr>
          <w:rFonts w:cstheme="minorHAnsi"/>
        </w:rPr>
        <w:t>across all</w:t>
      </w:r>
      <w:r w:rsidR="00F26740">
        <w:rPr>
          <w:rFonts w:cstheme="minorHAnsi"/>
        </w:rPr>
        <w:t xml:space="preserve"> sectors</w:t>
      </w:r>
      <w:r w:rsidR="005747F5">
        <w:rPr>
          <w:rFonts w:cstheme="minorHAnsi"/>
        </w:rPr>
        <w:t>.</w:t>
      </w:r>
    </w:p>
    <w:p w:rsidR="00544313" w:rsidRPr="008E6278" w:rsidRDefault="00F26740" w:rsidP="00470E15">
      <w:pPr>
        <w:pStyle w:val="ListParagraph"/>
        <w:numPr>
          <w:ilvl w:val="0"/>
          <w:numId w:val="21"/>
        </w:numPr>
        <w:spacing w:after="120"/>
        <w:ind w:left="357" w:hanging="357"/>
        <w:rPr>
          <w:rFonts w:cstheme="minorHAnsi"/>
        </w:rPr>
      </w:pPr>
      <w:r>
        <w:rPr>
          <w:rFonts w:cstheme="minorHAnsi"/>
        </w:rPr>
        <w:t>S</w:t>
      </w:r>
      <w:r w:rsidR="00EA05D6">
        <w:rPr>
          <w:rFonts w:cstheme="minorHAnsi"/>
        </w:rPr>
        <w:t>upport Thailand</w:t>
      </w:r>
      <w:r w:rsidR="00E86BA9">
        <w:rPr>
          <w:rFonts w:cstheme="minorHAnsi"/>
        </w:rPr>
        <w:t>’s</w:t>
      </w:r>
      <w:r w:rsidR="00EA05D6">
        <w:rPr>
          <w:rFonts w:cstheme="minorHAnsi"/>
        </w:rPr>
        <w:t xml:space="preserve"> economic growth, Australian businesses in Thailand, student and labour mobility </w:t>
      </w:r>
      <w:r w:rsidR="00CB3136">
        <w:rPr>
          <w:rFonts w:cstheme="minorHAnsi"/>
        </w:rPr>
        <w:t xml:space="preserve">across the </w:t>
      </w:r>
      <w:r w:rsidR="00EA05D6">
        <w:rPr>
          <w:rFonts w:cstheme="minorHAnsi"/>
        </w:rPr>
        <w:t>ASEAN region and Australia.</w:t>
      </w:r>
    </w:p>
    <w:p w:rsidR="00AC3CE5" w:rsidRPr="00AC3CE5" w:rsidRDefault="002679C9" w:rsidP="00AC3CE5">
      <w:pPr>
        <w:pStyle w:val="Heading1"/>
      </w:pPr>
      <w:r>
        <w:t xml:space="preserve">Key activities and </w:t>
      </w:r>
      <w:r w:rsidR="00AC3CE5">
        <w:t>events</w:t>
      </w:r>
      <w:r w:rsidR="001A1981">
        <w:t xml:space="preserve"> 2015</w:t>
      </w:r>
      <w:bookmarkStart w:id="1" w:name="_GoBack"/>
      <w:bookmarkEnd w:id="1"/>
    </w:p>
    <w:tbl>
      <w:tblPr>
        <w:tblStyle w:val="MediumShading1-Accent2"/>
        <w:tblpPr w:leftFromText="180" w:rightFromText="180" w:vertAnchor="text" w:tblpXSpec="center" w:tblpY="1"/>
        <w:tblOverlap w:val="never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7937"/>
      </w:tblGrid>
      <w:tr w:rsidR="00307284" w:rsidRPr="006671E8" w:rsidTr="00470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731A0" w:rsidRPr="006671E8" w:rsidRDefault="000731A0" w:rsidP="00470E15">
            <w:pPr>
              <w:rPr>
                <w:b w:val="0"/>
                <w:color w:val="FFFFFF" w:themeColor="background2"/>
              </w:rPr>
            </w:pPr>
            <w:r w:rsidRPr="006671E8">
              <w:rPr>
                <w:color w:val="FFFFFF" w:themeColor="background2"/>
              </w:rPr>
              <w:t>Date</w:t>
            </w:r>
          </w:p>
        </w:tc>
        <w:tc>
          <w:tcPr>
            <w:tcW w:w="7937" w:type="dxa"/>
          </w:tcPr>
          <w:p w:rsidR="000731A0" w:rsidRPr="006671E8" w:rsidRDefault="000731A0" w:rsidP="0047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</w:rPr>
            </w:pPr>
            <w:r>
              <w:rPr>
                <w:color w:val="FFFFFF" w:themeColor="background2"/>
              </w:rPr>
              <w:t>Activity</w:t>
            </w:r>
          </w:p>
        </w:tc>
      </w:tr>
      <w:tr w:rsidR="00307284" w:rsidTr="0047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731A0" w:rsidRDefault="00EB2261" w:rsidP="00470E15">
            <w:r>
              <w:t>9 May</w:t>
            </w:r>
          </w:p>
        </w:tc>
        <w:tc>
          <w:tcPr>
            <w:tcW w:w="7937" w:type="dxa"/>
          </w:tcPr>
          <w:p w:rsidR="000731A0" w:rsidRPr="001D0366" w:rsidRDefault="00EB2261" w:rsidP="0047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EdNET</w:t>
            </w:r>
            <w:proofErr w:type="spellEnd"/>
            <w:r>
              <w:t xml:space="preserve"> </w:t>
            </w:r>
            <w:r w:rsidRPr="00CB35E4">
              <w:t>Australian Education Interview Program on Science, Technology and Sustainability, Bangkok</w:t>
            </w:r>
          </w:p>
        </w:tc>
      </w:tr>
      <w:tr w:rsidR="00307284" w:rsidTr="00470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731A0" w:rsidRPr="00AA0D88" w:rsidRDefault="00EB2261" w:rsidP="00470E15">
            <w:r>
              <w:t>18-19 May</w:t>
            </w:r>
          </w:p>
        </w:tc>
        <w:tc>
          <w:tcPr>
            <w:tcW w:w="7937" w:type="dxa"/>
          </w:tcPr>
          <w:p w:rsidR="000731A0" w:rsidRPr="00AA0D88" w:rsidRDefault="00EB2261" w:rsidP="0047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TVET</w:t>
            </w:r>
            <w:proofErr w:type="spellEnd"/>
            <w:r>
              <w:t xml:space="preserve"> Quality Assurance Framework workshop</w:t>
            </w:r>
            <w:r w:rsidRPr="00CB35E4">
              <w:t xml:space="preserve"> </w:t>
            </w:r>
            <w:r>
              <w:t xml:space="preserve">to assist Thailand develop an action plan to improve </w:t>
            </w:r>
            <w:proofErr w:type="spellStart"/>
            <w:r>
              <w:t>QA</w:t>
            </w:r>
            <w:proofErr w:type="spellEnd"/>
            <w:r>
              <w:t xml:space="preserve"> in </w:t>
            </w:r>
            <w:proofErr w:type="spellStart"/>
            <w:r>
              <w:t>TVET</w:t>
            </w:r>
            <w:proofErr w:type="spellEnd"/>
          </w:p>
        </w:tc>
      </w:tr>
      <w:tr w:rsidR="00307284" w:rsidTr="0047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B2261" w:rsidRDefault="00EB2261" w:rsidP="00470E15">
            <w:r>
              <w:t>Late May</w:t>
            </w:r>
          </w:p>
        </w:tc>
        <w:tc>
          <w:tcPr>
            <w:tcW w:w="7937" w:type="dxa"/>
          </w:tcPr>
          <w:p w:rsidR="00EB2261" w:rsidRDefault="00EB2261" w:rsidP="0047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 Awards alumni focus group and networking function, Bangkok</w:t>
            </w:r>
          </w:p>
        </w:tc>
      </w:tr>
      <w:tr w:rsidR="00307284" w:rsidTr="00470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B2261" w:rsidRDefault="00EB2261" w:rsidP="00470E15">
            <w:r>
              <w:t>4 July</w:t>
            </w:r>
          </w:p>
        </w:tc>
        <w:tc>
          <w:tcPr>
            <w:tcW w:w="7937" w:type="dxa"/>
          </w:tcPr>
          <w:p w:rsidR="00EB2261" w:rsidRDefault="00EB2261" w:rsidP="0047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B35E4">
              <w:t>CP</w:t>
            </w:r>
            <w:proofErr w:type="spellEnd"/>
            <w:r>
              <w:t xml:space="preserve"> International</w:t>
            </w:r>
            <w:r w:rsidRPr="00CB35E4">
              <w:t xml:space="preserve"> Australian Education Fair, Bangkok</w:t>
            </w:r>
          </w:p>
        </w:tc>
      </w:tr>
      <w:tr w:rsidR="00307284" w:rsidTr="0047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B2261" w:rsidRDefault="00EB2261" w:rsidP="00470E15">
            <w:r>
              <w:t>October</w:t>
            </w:r>
          </w:p>
        </w:tc>
        <w:tc>
          <w:tcPr>
            <w:tcW w:w="7937" w:type="dxa"/>
          </w:tcPr>
          <w:p w:rsidR="00EB2261" w:rsidRDefault="00EB2261" w:rsidP="0047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Quality assurance frameworks in Australian higher education seminar, Bangkok</w:t>
            </w:r>
          </w:p>
        </w:tc>
      </w:tr>
      <w:tr w:rsidR="00307284" w:rsidTr="00470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B2261" w:rsidRDefault="00EB2261" w:rsidP="00470E15">
            <w:r>
              <w:t>2-8 November</w:t>
            </w:r>
          </w:p>
        </w:tc>
        <w:tc>
          <w:tcPr>
            <w:tcW w:w="7937" w:type="dxa"/>
          </w:tcPr>
          <w:p w:rsidR="00EB2261" w:rsidRDefault="00EB2261" w:rsidP="0047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35E4">
              <w:t>A</w:t>
            </w:r>
            <w:r>
              <w:t xml:space="preserve">ustralian and </w:t>
            </w:r>
            <w:r w:rsidRPr="00CB35E4">
              <w:t>V</w:t>
            </w:r>
            <w:r>
              <w:t xml:space="preserve">isa </w:t>
            </w:r>
            <w:r w:rsidRPr="00CB35E4">
              <w:t>S</w:t>
            </w:r>
            <w:r>
              <w:t xml:space="preserve">tudent </w:t>
            </w:r>
            <w:r w:rsidRPr="00CB35E4">
              <w:t>S</w:t>
            </w:r>
            <w:r>
              <w:t>ervices</w:t>
            </w:r>
            <w:r w:rsidRPr="00CB35E4">
              <w:t xml:space="preserve"> </w:t>
            </w:r>
            <w:r>
              <w:t>(</w:t>
            </w:r>
            <w:proofErr w:type="spellStart"/>
            <w:r>
              <w:t>AVSS</w:t>
            </w:r>
            <w:proofErr w:type="spellEnd"/>
            <w:r>
              <w:t xml:space="preserve">) </w:t>
            </w:r>
            <w:r w:rsidRPr="00CB35E4">
              <w:t>Education Fair, Thailand</w:t>
            </w:r>
            <w:r>
              <w:t xml:space="preserve"> </w:t>
            </w:r>
          </w:p>
          <w:p w:rsidR="00EB2261" w:rsidRDefault="00EB2261" w:rsidP="0047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(2 Nov –</w:t>
            </w:r>
            <w:r w:rsidRPr="00CB35E4">
              <w:t xml:space="preserve"> Bangkok, 4 Nov – </w:t>
            </w:r>
            <w:proofErr w:type="spellStart"/>
            <w:r w:rsidRPr="00CB35E4">
              <w:t>Khon</w:t>
            </w:r>
            <w:proofErr w:type="spellEnd"/>
            <w:r w:rsidRPr="00CB35E4">
              <w:t xml:space="preserve"> </w:t>
            </w:r>
            <w:proofErr w:type="spellStart"/>
            <w:r w:rsidRPr="00CB35E4">
              <w:t>Kaen</w:t>
            </w:r>
            <w:proofErr w:type="spellEnd"/>
            <w:r w:rsidRPr="00CB35E4">
              <w:t>, 6 Nov – Chiang Mai, 8 Nov – Phuket)</w:t>
            </w:r>
          </w:p>
        </w:tc>
      </w:tr>
      <w:tr w:rsidR="00307284" w:rsidTr="0047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B2261" w:rsidRDefault="00EB2261" w:rsidP="00470E15">
            <w:r>
              <w:t>14-15 November</w:t>
            </w:r>
          </w:p>
        </w:tc>
        <w:tc>
          <w:tcPr>
            <w:tcW w:w="7937" w:type="dxa"/>
          </w:tcPr>
          <w:p w:rsidR="00EB2261" w:rsidRDefault="00EB2261" w:rsidP="0047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5E4">
              <w:t xml:space="preserve">The </w:t>
            </w:r>
            <w:proofErr w:type="spellStart"/>
            <w:r w:rsidRPr="00CB35E4">
              <w:t>OCSC</w:t>
            </w:r>
            <w:proofErr w:type="spellEnd"/>
            <w:r w:rsidRPr="00CB35E4">
              <w:t xml:space="preserve"> International Education Expo 2015, Bangkok</w:t>
            </w:r>
            <w:r>
              <w:t xml:space="preserve">, </w:t>
            </w:r>
            <w:r w:rsidRPr="0023535C">
              <w:t>hosted by the Office of the C</w:t>
            </w:r>
            <w:r>
              <w:t>ivil Service Commission (</w:t>
            </w:r>
            <w:proofErr w:type="spellStart"/>
            <w:r>
              <w:t>OCSC</w:t>
            </w:r>
            <w:proofErr w:type="spellEnd"/>
            <w:r>
              <w:t xml:space="preserve"> – </w:t>
            </w:r>
            <w:r w:rsidRPr="0023535C">
              <w:t xml:space="preserve">Thai government agency that manages </w:t>
            </w:r>
            <w:r>
              <w:t>government scholarships schemes)</w:t>
            </w:r>
          </w:p>
        </w:tc>
      </w:tr>
      <w:tr w:rsidR="00470E15" w:rsidRPr="00470E15" w:rsidTr="00470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B2261" w:rsidRDefault="00EB2261" w:rsidP="00470E15">
            <w:r>
              <w:t>Early December</w:t>
            </w:r>
          </w:p>
        </w:tc>
        <w:tc>
          <w:tcPr>
            <w:tcW w:w="7937" w:type="dxa"/>
          </w:tcPr>
          <w:p w:rsidR="00EB2261" w:rsidRPr="00CB35E4" w:rsidRDefault="00EB2261" w:rsidP="0047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Australia-Thailand Joint Working Group on Education and Training, Canberra</w:t>
            </w:r>
          </w:p>
        </w:tc>
      </w:tr>
    </w:tbl>
    <w:p w:rsidR="00AC3CE5" w:rsidRDefault="00AC3CE5" w:rsidP="00470E15">
      <w:pPr>
        <w:spacing w:after="0" w:line="240" w:lineRule="auto"/>
      </w:pPr>
    </w:p>
    <w:sectPr w:rsidR="00AC3CE5" w:rsidSect="00A66052">
      <w:type w:val="continuous"/>
      <w:pgSz w:w="11906" w:h="16838"/>
      <w:pgMar w:top="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91" w:rsidRDefault="00283E91" w:rsidP="00130923">
      <w:pPr>
        <w:spacing w:after="0" w:line="240" w:lineRule="auto"/>
      </w:pPr>
      <w:r>
        <w:separator/>
      </w:r>
    </w:p>
  </w:endnote>
  <w:endnote w:type="continuationSeparator" w:id="0">
    <w:p w:rsidR="00283E91" w:rsidRDefault="00283E91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B9" w:rsidRDefault="001A1981" w:rsidP="00A73406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638927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>
          <w:rPr>
            <w:noProof/>
          </w:rPr>
          <w:t>2</w:t>
        </w:r>
        <w:r w:rsidR="003242B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B2" w:rsidRDefault="00832FB2" w:rsidP="00E02515">
    <w:pPr>
      <w:spacing w:after="0"/>
      <w:ind w:left="1418"/>
      <w:rPr>
        <w:rStyle w:val="Emphasis"/>
      </w:rPr>
    </w:pPr>
    <w:r w:rsidRPr="00F80DCB">
      <w:rPr>
        <w:rStyle w:val="Emphasis"/>
      </w:rPr>
      <w:t>Opportunity through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91" w:rsidRDefault="00283E91" w:rsidP="00130923">
      <w:pPr>
        <w:spacing w:after="0" w:line="240" w:lineRule="auto"/>
      </w:pPr>
      <w:r>
        <w:separator/>
      </w:r>
    </w:p>
  </w:footnote>
  <w:footnote w:type="continuationSeparator" w:id="0">
    <w:p w:rsidR="00283E91" w:rsidRDefault="00283E91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A0" w:rsidRDefault="00F640CA" w:rsidP="00A66052">
    <w:pPr>
      <w:pStyle w:val="Header"/>
      <w:spacing w:after="480"/>
      <w:jc w:val="right"/>
    </w:pPr>
    <w:r>
      <w:t>Thailand – Opportunities / Goals /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82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EB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7845B4"/>
    <w:multiLevelType w:val="hybridMultilevel"/>
    <w:tmpl w:val="080E52E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253755B0"/>
    <w:multiLevelType w:val="hybridMultilevel"/>
    <w:tmpl w:val="1C289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759C21D5"/>
    <w:multiLevelType w:val="hybridMultilevel"/>
    <w:tmpl w:val="2F32F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2528A4"/>
    <w:multiLevelType w:val="hybridMultilevel"/>
    <w:tmpl w:val="9B662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723BD5"/>
    <w:multiLevelType w:val="hybridMultilevel"/>
    <w:tmpl w:val="1E3A1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1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4"/>
  </w:num>
  <w:num w:numId="22">
    <w:abstractNumId w:val="2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92324"/>
    <w:rsid w:val="00002721"/>
    <w:rsid w:val="00007E0C"/>
    <w:rsid w:val="00024E24"/>
    <w:rsid w:val="00034EAA"/>
    <w:rsid w:val="000731A0"/>
    <w:rsid w:val="000861A6"/>
    <w:rsid w:val="000B1816"/>
    <w:rsid w:val="000D7FD3"/>
    <w:rsid w:val="000E7E7B"/>
    <w:rsid w:val="000F3BA2"/>
    <w:rsid w:val="000F737F"/>
    <w:rsid w:val="001175BF"/>
    <w:rsid w:val="00130923"/>
    <w:rsid w:val="001414F3"/>
    <w:rsid w:val="00143FCD"/>
    <w:rsid w:val="001A1981"/>
    <w:rsid w:val="001B6467"/>
    <w:rsid w:val="001C48A7"/>
    <w:rsid w:val="00223EB1"/>
    <w:rsid w:val="00236917"/>
    <w:rsid w:val="00243D6B"/>
    <w:rsid w:val="002679C9"/>
    <w:rsid w:val="00283E91"/>
    <w:rsid w:val="002876F9"/>
    <w:rsid w:val="002B06E6"/>
    <w:rsid w:val="002C3AA1"/>
    <w:rsid w:val="002D271F"/>
    <w:rsid w:val="002D2BB1"/>
    <w:rsid w:val="002D6386"/>
    <w:rsid w:val="002F1999"/>
    <w:rsid w:val="00305B35"/>
    <w:rsid w:val="00307284"/>
    <w:rsid w:val="003155A7"/>
    <w:rsid w:val="003166C5"/>
    <w:rsid w:val="003242B9"/>
    <w:rsid w:val="003753C7"/>
    <w:rsid w:val="003979FC"/>
    <w:rsid w:val="003D67FC"/>
    <w:rsid w:val="003F031B"/>
    <w:rsid w:val="00406E5A"/>
    <w:rsid w:val="00455B34"/>
    <w:rsid w:val="00470E15"/>
    <w:rsid w:val="00480370"/>
    <w:rsid w:val="00481F02"/>
    <w:rsid w:val="0048762C"/>
    <w:rsid w:val="004B0C39"/>
    <w:rsid w:val="004B256F"/>
    <w:rsid w:val="005113B6"/>
    <w:rsid w:val="00531817"/>
    <w:rsid w:val="00544313"/>
    <w:rsid w:val="0056055A"/>
    <w:rsid w:val="00560CA0"/>
    <w:rsid w:val="005624F3"/>
    <w:rsid w:val="005747F5"/>
    <w:rsid w:val="005811EF"/>
    <w:rsid w:val="005B0878"/>
    <w:rsid w:val="005C15C0"/>
    <w:rsid w:val="006011B6"/>
    <w:rsid w:val="00610654"/>
    <w:rsid w:val="006318B9"/>
    <w:rsid w:val="0063548E"/>
    <w:rsid w:val="0067026C"/>
    <w:rsid w:val="00686A12"/>
    <w:rsid w:val="006A0EE1"/>
    <w:rsid w:val="006E2D49"/>
    <w:rsid w:val="007063F2"/>
    <w:rsid w:val="00711060"/>
    <w:rsid w:val="007231FC"/>
    <w:rsid w:val="007468FC"/>
    <w:rsid w:val="0077677F"/>
    <w:rsid w:val="00792CA3"/>
    <w:rsid w:val="007B2FDD"/>
    <w:rsid w:val="007D58FB"/>
    <w:rsid w:val="00832FB2"/>
    <w:rsid w:val="0083468A"/>
    <w:rsid w:val="00842D43"/>
    <w:rsid w:val="00856D1C"/>
    <w:rsid w:val="008606C8"/>
    <w:rsid w:val="00876AC0"/>
    <w:rsid w:val="008E6278"/>
    <w:rsid w:val="00903408"/>
    <w:rsid w:val="00905AD9"/>
    <w:rsid w:val="009116EA"/>
    <w:rsid w:val="00933671"/>
    <w:rsid w:val="00965D22"/>
    <w:rsid w:val="00972BF7"/>
    <w:rsid w:val="00972DD5"/>
    <w:rsid w:val="00984879"/>
    <w:rsid w:val="00985632"/>
    <w:rsid w:val="00991B63"/>
    <w:rsid w:val="009B2428"/>
    <w:rsid w:val="009B5CB7"/>
    <w:rsid w:val="009B66BA"/>
    <w:rsid w:val="00A14551"/>
    <w:rsid w:val="00A31242"/>
    <w:rsid w:val="00A475CB"/>
    <w:rsid w:val="00A52530"/>
    <w:rsid w:val="00A551BF"/>
    <w:rsid w:val="00A66052"/>
    <w:rsid w:val="00A70524"/>
    <w:rsid w:val="00A73406"/>
    <w:rsid w:val="00A8720F"/>
    <w:rsid w:val="00AC3CE5"/>
    <w:rsid w:val="00AC65DA"/>
    <w:rsid w:val="00AD09E4"/>
    <w:rsid w:val="00AD3F7F"/>
    <w:rsid w:val="00AE34FA"/>
    <w:rsid w:val="00AF1737"/>
    <w:rsid w:val="00B2722A"/>
    <w:rsid w:val="00B618BA"/>
    <w:rsid w:val="00B7282D"/>
    <w:rsid w:val="00B82137"/>
    <w:rsid w:val="00B87039"/>
    <w:rsid w:val="00BA282D"/>
    <w:rsid w:val="00BA4D57"/>
    <w:rsid w:val="00BB6260"/>
    <w:rsid w:val="00C05E74"/>
    <w:rsid w:val="00C10C19"/>
    <w:rsid w:val="00C143B8"/>
    <w:rsid w:val="00C17D02"/>
    <w:rsid w:val="00C5649C"/>
    <w:rsid w:val="00C75486"/>
    <w:rsid w:val="00C8202C"/>
    <w:rsid w:val="00C91576"/>
    <w:rsid w:val="00C92A5B"/>
    <w:rsid w:val="00CA46EC"/>
    <w:rsid w:val="00CB3136"/>
    <w:rsid w:val="00CC7D98"/>
    <w:rsid w:val="00CD09FD"/>
    <w:rsid w:val="00D05B29"/>
    <w:rsid w:val="00D1394D"/>
    <w:rsid w:val="00D27C2D"/>
    <w:rsid w:val="00D461B5"/>
    <w:rsid w:val="00D47740"/>
    <w:rsid w:val="00D6635B"/>
    <w:rsid w:val="00D812B9"/>
    <w:rsid w:val="00D8481B"/>
    <w:rsid w:val="00D903FD"/>
    <w:rsid w:val="00D92324"/>
    <w:rsid w:val="00D94BC5"/>
    <w:rsid w:val="00D94E92"/>
    <w:rsid w:val="00D96C08"/>
    <w:rsid w:val="00DA0F34"/>
    <w:rsid w:val="00DA1AC2"/>
    <w:rsid w:val="00DC3052"/>
    <w:rsid w:val="00DF46C4"/>
    <w:rsid w:val="00DF4CA3"/>
    <w:rsid w:val="00E02515"/>
    <w:rsid w:val="00E14F0A"/>
    <w:rsid w:val="00E1604B"/>
    <w:rsid w:val="00E86BA9"/>
    <w:rsid w:val="00EA05D6"/>
    <w:rsid w:val="00EA0785"/>
    <w:rsid w:val="00EB2261"/>
    <w:rsid w:val="00EB319F"/>
    <w:rsid w:val="00EC78E7"/>
    <w:rsid w:val="00ED2A77"/>
    <w:rsid w:val="00ED43D2"/>
    <w:rsid w:val="00EE3B8C"/>
    <w:rsid w:val="00EF4A38"/>
    <w:rsid w:val="00EF5845"/>
    <w:rsid w:val="00F11B8F"/>
    <w:rsid w:val="00F26740"/>
    <w:rsid w:val="00F27029"/>
    <w:rsid w:val="00F47193"/>
    <w:rsid w:val="00F640CA"/>
    <w:rsid w:val="00F74011"/>
    <w:rsid w:val="00F80CFC"/>
    <w:rsid w:val="00F80DCB"/>
    <w:rsid w:val="00F84D4D"/>
    <w:rsid w:val="00F97CF1"/>
    <w:rsid w:val="00FB10CB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character" w:styleId="CommentReference">
    <w:name w:val="annotation reference"/>
    <w:basedOn w:val="DefaultParagraphFont"/>
    <w:uiPriority w:val="99"/>
    <w:semiHidden/>
    <w:unhideWhenUsed/>
    <w:rsid w:val="00D66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5B"/>
    <w:rPr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0731A0"/>
    <w:pPr>
      <w:spacing w:after="0" w:line="240" w:lineRule="auto"/>
    </w:pPr>
    <w:tblPr>
      <w:tblStyleRowBandSize w:val="1"/>
      <w:tblStyleColBandSize w:val="1"/>
      <w:tblBorders>
        <w:top w:val="single" w:sz="8" w:space="0" w:color="8551AE" w:themeColor="accent2" w:themeTint="BF"/>
        <w:left w:val="single" w:sz="8" w:space="0" w:color="8551AE" w:themeColor="accent2" w:themeTint="BF"/>
        <w:bottom w:val="single" w:sz="8" w:space="0" w:color="8551AE" w:themeColor="accent2" w:themeTint="BF"/>
        <w:right w:val="single" w:sz="8" w:space="0" w:color="8551AE" w:themeColor="accent2" w:themeTint="BF"/>
        <w:insideH w:val="single" w:sz="8" w:space="0" w:color="8551A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7F7F7F" w:themeColor="background1"/>
      </w:rPr>
      <w:tblPr/>
      <w:tcPr>
        <w:tcBorders>
          <w:top w:val="single" w:sz="8" w:space="0" w:color="8551AE" w:themeColor="accent2" w:themeTint="BF"/>
          <w:left w:val="single" w:sz="8" w:space="0" w:color="8551AE" w:themeColor="accent2" w:themeTint="BF"/>
          <w:bottom w:val="single" w:sz="8" w:space="0" w:color="8551AE" w:themeColor="accent2" w:themeTint="BF"/>
          <w:right w:val="single" w:sz="8" w:space="0" w:color="8551AE" w:themeColor="accent2" w:themeTint="BF"/>
          <w:insideH w:val="nil"/>
          <w:insideV w:val="nil"/>
        </w:tcBorders>
        <w:shd w:val="clear" w:color="auto" w:fill="59367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1AE" w:themeColor="accent2" w:themeTint="BF"/>
          <w:left w:val="single" w:sz="8" w:space="0" w:color="8551AE" w:themeColor="accent2" w:themeTint="BF"/>
          <w:bottom w:val="single" w:sz="8" w:space="0" w:color="8551AE" w:themeColor="accent2" w:themeTint="BF"/>
          <w:right w:val="single" w:sz="8" w:space="0" w:color="8551A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5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C5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character" w:styleId="CommentReference">
    <w:name w:val="annotation reference"/>
    <w:basedOn w:val="DefaultParagraphFont"/>
    <w:uiPriority w:val="99"/>
    <w:semiHidden/>
    <w:unhideWhenUsed/>
    <w:rsid w:val="00D66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5B"/>
    <w:rPr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0731A0"/>
    <w:pPr>
      <w:spacing w:after="0" w:line="240" w:lineRule="auto"/>
    </w:pPr>
    <w:tblPr>
      <w:tblStyleRowBandSize w:val="1"/>
      <w:tblStyleColBandSize w:val="1"/>
      <w:tblBorders>
        <w:top w:val="single" w:sz="8" w:space="0" w:color="8551AE" w:themeColor="accent2" w:themeTint="BF"/>
        <w:left w:val="single" w:sz="8" w:space="0" w:color="8551AE" w:themeColor="accent2" w:themeTint="BF"/>
        <w:bottom w:val="single" w:sz="8" w:space="0" w:color="8551AE" w:themeColor="accent2" w:themeTint="BF"/>
        <w:right w:val="single" w:sz="8" w:space="0" w:color="8551AE" w:themeColor="accent2" w:themeTint="BF"/>
        <w:insideH w:val="single" w:sz="8" w:space="0" w:color="8551A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7F7F7F" w:themeColor="background1"/>
      </w:rPr>
      <w:tblPr/>
      <w:tcPr>
        <w:tcBorders>
          <w:top w:val="single" w:sz="8" w:space="0" w:color="8551AE" w:themeColor="accent2" w:themeTint="BF"/>
          <w:left w:val="single" w:sz="8" w:space="0" w:color="8551AE" w:themeColor="accent2" w:themeTint="BF"/>
          <w:bottom w:val="single" w:sz="8" w:space="0" w:color="8551AE" w:themeColor="accent2" w:themeTint="BF"/>
          <w:right w:val="single" w:sz="8" w:space="0" w:color="8551AE" w:themeColor="accent2" w:themeTint="BF"/>
          <w:insideH w:val="nil"/>
          <w:insideV w:val="nil"/>
        </w:tcBorders>
        <w:shd w:val="clear" w:color="auto" w:fill="59367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1AE" w:themeColor="accent2" w:themeTint="BF"/>
          <w:left w:val="single" w:sz="8" w:space="0" w:color="8551AE" w:themeColor="accent2" w:themeTint="BF"/>
          <w:bottom w:val="single" w:sz="8" w:space="0" w:color="8551AE" w:themeColor="accent2" w:themeTint="BF"/>
          <w:right w:val="single" w:sz="8" w:space="0" w:color="8551A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5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C5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AD11CAEEF438CB4383BBCD17B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2EBF-6EAC-4F45-AB81-01B8546BBE50}"/>
      </w:docPartPr>
      <w:docPartBody>
        <w:p w:rsidR="00250AD1" w:rsidRDefault="00250AD1">
          <w:pPr>
            <w:pStyle w:val="C1DAD11CAEEF438CB4383BBCD17B4DE7"/>
          </w:pPr>
          <w:r w:rsidRPr="00716C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1"/>
    <w:rsid w:val="00250AD1"/>
    <w:rsid w:val="00522B46"/>
    <w:rsid w:val="006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46"/>
    <w:rPr>
      <w:color w:val="808080"/>
    </w:rPr>
  </w:style>
  <w:style w:type="paragraph" w:customStyle="1" w:styleId="C1DAD11CAEEF438CB4383BBCD17B4DE7">
    <w:name w:val="C1DAD11CAEEF438CB4383BBCD17B4DE7"/>
  </w:style>
  <w:style w:type="paragraph" w:customStyle="1" w:styleId="D6DD0D6FEC024B4B880F03602C5ADD4F">
    <w:name w:val="D6DD0D6FEC024B4B880F03602C5ADD4F"/>
    <w:rsid w:val="00522B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46"/>
    <w:rPr>
      <w:color w:val="808080"/>
    </w:rPr>
  </w:style>
  <w:style w:type="paragraph" w:customStyle="1" w:styleId="C1DAD11CAEEF438CB4383BBCD17B4DE7">
    <w:name w:val="C1DAD11CAEEF438CB4383BBCD17B4DE7"/>
  </w:style>
  <w:style w:type="paragraph" w:customStyle="1" w:styleId="D6DD0D6FEC024B4B880F03602C5ADD4F">
    <w:name w:val="D6DD0D6FEC024B4B880F03602C5ADD4F"/>
    <w:rsid w:val="00522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6886EE42CEB4D99AF145D9CCD70A8" ma:contentTypeVersion="2" ma:contentTypeDescription="Create a new document." ma:contentTypeScope="" ma:versionID="37cc488b15a41c1a5f267676bc8030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C2D36-2922-40B4-B108-B7ECE01DEAA6}"/>
</file>

<file path=customXml/itemProps2.xml><?xml version="1.0" encoding="utf-8"?>
<ds:datastoreItem xmlns:ds="http://schemas.openxmlformats.org/officeDocument/2006/customXml" ds:itemID="{F57166C5-B1F3-49AB-8928-050D79CFF202}"/>
</file>

<file path=customXml/itemProps3.xml><?xml version="1.0" encoding="utf-8"?>
<ds:datastoreItem xmlns:ds="http://schemas.openxmlformats.org/officeDocument/2006/customXml" ds:itemID="{7CF99EFB-7BA9-4984-B5DE-4174A4410E88}"/>
</file>

<file path=customXml/itemProps4.xml><?xml version="1.0" encoding="utf-8"?>
<ds:datastoreItem xmlns:ds="http://schemas.openxmlformats.org/officeDocument/2006/customXml" ds:itemID="{CCA5CAC1-6792-46CC-92EB-DE7F96EB0B0C}"/>
</file>

<file path=docProps/app.xml><?xml version="1.0" encoding="utf-8"?>
<Properties xmlns="http://schemas.openxmlformats.org/officeDocument/2006/extended-properties" xmlns:vt="http://schemas.openxmlformats.org/officeDocument/2006/docPropsVTypes">
  <Template>DC2706C5.dotm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Thailand – Education &amp; Research Partnership Opportunities</vt:lpstr>
    </vt:vector>
  </TitlesOfParts>
  <Company>Australian Government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– Education &amp; Research Partnership Opportunities</dc:title>
  <dc:creator>Maria Fleming</dc:creator>
  <cp:lastModifiedBy>John  Psilopatis</cp:lastModifiedBy>
  <cp:revision>4</cp:revision>
  <cp:lastPrinted>2015-02-12T04:57:00Z</cp:lastPrinted>
  <dcterms:created xsi:type="dcterms:W3CDTF">2015-04-20T00:27:00Z</dcterms:created>
  <dcterms:modified xsi:type="dcterms:W3CDTF">2015-04-20T00:30:00Z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0x010100AD86886EE42CEB4D99AF145D9CCD70A8</vt:lpwstr>
  </property>
  <property fmtid="{D5CDD505-2E9C-101B-9397-08002B2CF9AE}" pid="3" name="Order">
    <vt:r8>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